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7576DEA9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C6F6E">
        <w:t>10</w:t>
      </w:r>
    </w:p>
    <w:p w14:paraId="6B9D6A04" w14:textId="481073D0" w:rsidR="00AD0C7B" w:rsidRDefault="003B6E13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94823519"/>
    <w:p w14:paraId="56188271" w14:textId="1DDFA295" w:rsidR="006A2C59" w:rsidRDefault="003B6E13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szCs w:val="24"/>
            </w:rPr>
            <w:t xml:space="preserve">Rekonstrukce výpravní budovy v </w:t>
          </w:r>
          <w:proofErr w:type="spellStart"/>
          <w:r>
            <w:rPr>
              <w:szCs w:val="24"/>
            </w:rPr>
            <w:t>žst</w:t>
          </w:r>
          <w:proofErr w:type="spellEnd"/>
          <w:r>
            <w:rPr>
              <w:szCs w:val="24"/>
            </w:rPr>
            <w:t>. Cheb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07602C83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1B3838EA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</w:t>
      </w:r>
      <w:proofErr w:type="spellStart"/>
      <w:r w:rsidRPr="10EC816C">
        <w:rPr>
          <w:rStyle w:val="Tun"/>
          <w:b w:val="0"/>
        </w:rPr>
        <w:t>podobjekty</w:t>
      </w:r>
      <w:proofErr w:type="spellEnd"/>
      <w:r w:rsidRPr="10EC816C">
        <w:rPr>
          <w:rStyle w:val="Tun"/>
          <w:b w:val="0"/>
        </w:rPr>
        <w:t xml:space="preserve">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</w:t>
      </w:r>
      <w:proofErr w:type="spellStart"/>
      <w:r w:rsidRPr="008651D6">
        <w:t>podobjekty</w:t>
      </w:r>
      <w:proofErr w:type="spellEnd"/>
      <w:r w:rsidRPr="008651D6">
        <w:t xml:space="preserve">, představuje profesní DiMS jednotlivý </w:t>
      </w:r>
      <w:proofErr w:type="spellStart"/>
      <w:r w:rsidRPr="008651D6">
        <w:t>podobjekt</w:t>
      </w:r>
      <w:proofErr w:type="spellEnd"/>
      <w:r w:rsidRPr="008651D6">
        <w:t xml:space="preserve">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</w:t>
      </w:r>
      <w:proofErr w:type="spellStart"/>
      <w:r w:rsidRPr="10EC816C">
        <w:rPr>
          <w:b/>
          <w:bCs/>
        </w:rPr>
        <w:t>sDiMS</w:t>
      </w:r>
      <w:proofErr w:type="spellEnd"/>
      <w:r w:rsidRPr="10EC816C">
        <w:rPr>
          <w:b/>
          <w:bCs/>
        </w:rPr>
        <w:t>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</w:t>
      </w:r>
      <w:proofErr w:type="spellStart"/>
      <w:r w:rsidR="000A6855" w:rsidRPr="00C7518D">
        <w:t>Industry</w:t>
      </w:r>
      <w:proofErr w:type="spellEnd"/>
      <w:r w:rsidR="000A6855" w:rsidRPr="00C7518D">
        <w:t xml:space="preserve"> </w:t>
      </w:r>
      <w:proofErr w:type="spellStart"/>
      <w:r w:rsidR="000A6855" w:rsidRPr="00C7518D">
        <w:t>Foundation</w:t>
      </w:r>
      <w:proofErr w:type="spellEnd"/>
      <w:r w:rsidR="000A6855" w:rsidRPr="00C7518D">
        <w:t xml:space="preserve"> </w:t>
      </w:r>
      <w:proofErr w:type="spellStart"/>
      <w:r w:rsidR="000A6855" w:rsidRPr="00C7518D">
        <w:t>Classes</w:t>
      </w:r>
      <w:proofErr w:type="spellEnd"/>
      <w:r w:rsidR="000A6855" w:rsidRPr="00C7518D">
        <w:t>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4CBAAF63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B6E13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18D554F0" w:rsidR="00672111" w:rsidRPr="003462EB" w:rsidRDefault="003B6E13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Rekonstrukce výpravní budovy v </w:t>
              </w:r>
              <w:proofErr w:type="spellStart"/>
              <w:r>
                <w:t>žst</w:t>
              </w:r>
              <w:proofErr w:type="spellEnd"/>
              <w:r>
                <w:t>. Cheb</w:t>
              </w:r>
            </w:sdtContent>
          </w:sdt>
        </w:p>
        <w:p w14:paraId="60D715BD" w14:textId="27FCF652" w:rsidR="00672111" w:rsidRPr="00B435A5" w:rsidRDefault="003B6E13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61844B0E" w:rsidR="00813B53" w:rsidRPr="00661092" w:rsidRDefault="003B6E13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Rekonstrukce výpravní budovy v </w:t>
              </w:r>
              <w:proofErr w:type="spellStart"/>
              <w:r>
                <w:rPr>
                  <w:szCs w:val="12"/>
                </w:rPr>
                <w:t>žst</w:t>
              </w:r>
              <w:proofErr w:type="spellEnd"/>
              <w:r>
                <w:rPr>
                  <w:szCs w:val="12"/>
                </w:rPr>
                <w:t>. Cheb</w:t>
              </w:r>
            </w:sdtContent>
          </w:sdt>
        </w:p>
        <w:p w14:paraId="2F397256" w14:textId="6BC08131" w:rsidR="00813B53" w:rsidRPr="003462EB" w:rsidRDefault="003B6E13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31F23668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B6E13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53CAC664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EE5593">
      <w:rPr>
        <w:sz w:val="22"/>
        <w:szCs w:val="22"/>
      </w:rPr>
      <w:t>1</w:t>
    </w:r>
    <w:r w:rsidR="003C6F6E">
      <w:rPr>
        <w:sz w:val="22"/>
        <w:szCs w:val="22"/>
      </w:rPr>
      <w:t>.</w:t>
    </w:r>
    <w:r w:rsidR="00EE5593">
      <w:rPr>
        <w:sz w:val="22"/>
        <w:szCs w:val="22"/>
      </w:rPr>
      <w:t>7</w:t>
    </w:r>
    <w:r w:rsidR="003C6F6E">
      <w:rPr>
        <w:sz w:val="22"/>
        <w:szCs w:val="22"/>
      </w:rPr>
      <w:t>.</w:t>
    </w:r>
    <w:r w:rsidR="00EE5593">
      <w:rPr>
        <w:sz w:val="22"/>
        <w:szCs w:val="22"/>
      </w:rPr>
      <w:t>202</w:t>
    </w:r>
    <w:r w:rsidR="003B6E13">
      <w:rPr>
        <w:sz w:val="22"/>
        <w:szCs w:val="22"/>
      </w:rPr>
      <w:t>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C157A" w14:textId="36CD054A" w:rsidR="00EE5593" w:rsidRDefault="00EE559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50CAA3" wp14:editId="2560B1DC">
              <wp:simplePos x="1007307" y="376518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211954205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10B438" w14:textId="60DE6C88" w:rsidR="00EE5593" w:rsidRPr="00EE5593" w:rsidRDefault="00EE5593" w:rsidP="00EE5593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E559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50CAA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9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910B438" w14:textId="60DE6C88" w:rsidR="00EE5593" w:rsidRPr="00EE5593" w:rsidRDefault="00EE5593" w:rsidP="00EE5593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E559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0466" w14:textId="0FC3AF2A" w:rsidR="00EE5593" w:rsidRDefault="00EE559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23A2E4" wp14:editId="6D8FFE0A">
              <wp:simplePos x="1007307" y="376518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46806128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F1B2B4" w14:textId="616194AE" w:rsidR="00EE5593" w:rsidRPr="00EE5593" w:rsidRDefault="00EE5593" w:rsidP="00EE5593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E559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23A2E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9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66F1B2B4" w14:textId="616194AE" w:rsidR="00EE5593" w:rsidRPr="00EE5593" w:rsidRDefault="00EE5593" w:rsidP="00EE5593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E559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68E4215E" w:rsidR="002739EB" w:rsidRPr="00D3365C" w:rsidRDefault="00EE5593" w:rsidP="002739EB">
    <w:pPr>
      <w:pStyle w:val="Zhlav"/>
      <w:spacing w:before="600" w:after="24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E0F7EE" wp14:editId="1FC40AA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74650"/>
              <wp:effectExtent l="0" t="0" r="1270" b="6350"/>
              <wp:wrapNone/>
              <wp:docPr id="30235471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7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D98B6A" w14:textId="1FC65726" w:rsidR="00EE5593" w:rsidRPr="00EE5593" w:rsidRDefault="00EE5593" w:rsidP="00EE5593">
                          <w:pPr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E559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0F7E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9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67D98B6A" w14:textId="1FC65726" w:rsidR="00EE5593" w:rsidRPr="00EE5593" w:rsidRDefault="00EE5593" w:rsidP="00EE5593">
                    <w:pPr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E559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739EB"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748264664" name="Obrázek 1748264664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1A4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B6E13"/>
    <w:rsid w:val="003C03F4"/>
    <w:rsid w:val="003C247F"/>
    <w:rsid w:val="003C33F2"/>
    <w:rsid w:val="003C478C"/>
    <w:rsid w:val="003C52AF"/>
    <w:rsid w:val="003C6679"/>
    <w:rsid w:val="003C6946"/>
    <w:rsid w:val="003C6F6E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44435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5EE2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28FC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E5593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81A45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44435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75EE2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4294966706</TotalTime>
  <Pages>8</Pages>
  <Words>2659</Words>
  <Characters>15692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Rekonstrukce výpravní budovy v žst. Cheb</dc:subject>
  <dc:creator>Správa železnic</dc:creator>
  <cp:keywords>2024-10</cp:keywords>
  <cp:lastModifiedBy>Šafář Karel, Ing.</cp:lastModifiedBy>
  <cp:revision>6</cp:revision>
  <cp:lastPrinted>2019-12-07T09:14:00Z</cp:lastPrinted>
  <dcterms:created xsi:type="dcterms:W3CDTF">2024-10-18T14:00:00Z</dcterms:created>
  <dcterms:modified xsi:type="dcterms:W3CDTF">2025-07-03T05:57:00Z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ClassificationContentMarkingHeaderShapeIds">
    <vt:lpwstr>1205911e,7e55a524,1be60c61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